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bidi w:val="0"/>
        <w:spacing w:lineRule="auto" w:line="276"/>
        <w:ind w:left="-15" w:right="-15" w:hanging="0"/>
        <w:jc w:val="center"/>
        <w:rPr>
          <w:rFonts w:ascii="Times New Roman" w:hAnsi="Times New Roman" w:eastAsia="Times New Roman" w:cs="Times New Roman"/>
          <w:b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>BURMISTRZ  MIEROSZOWA</w:t>
      </w:r>
    </w:p>
    <w:p>
      <w:pPr>
        <w:pStyle w:val="Normal"/>
        <w:spacing w:lineRule="auto" w:line="276"/>
        <w:ind w:left="0" w:right="16" w:hanging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</w:rPr>
        <w:t>58-350 Mieroszów, Plac Niepodległości 1</w:t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Ogłasza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siódmy n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abór wniosków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na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najem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6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lokali mieszkalnych w budynku  przy ul.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Przelotnej 1 w Mieroszowie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stanowiący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m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własność Towarzystwa Budownictwa Społecznego „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TBS” 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Sp. z o. o.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w Kamiennej Górze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wybudowany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m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przy udziale finansowym Gminy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Mieroszów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. </w:t>
      </w:r>
    </w:p>
    <w:tbl>
      <w:tblPr>
        <w:tblW w:w="9128" w:type="dxa"/>
        <w:jc w:val="left"/>
        <w:tblInd w:w="-27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40"/>
        <w:gridCol w:w="2140"/>
        <w:gridCol w:w="1885"/>
        <w:gridCol w:w="1463"/>
      </w:tblGrid>
      <w:tr>
        <w:trPr>
          <w:trHeight w:val="588" w:hRule="atLeast"/>
        </w:trPr>
        <w:tc>
          <w:tcPr>
            <w:tcW w:w="9128" w:type="dxa"/>
            <w:gridSpan w:val="4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l-PL"/>
              </w:rPr>
              <w:t>Lokale przy ul. P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l-PL"/>
              </w:rPr>
              <w:t>rz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l-PL"/>
              </w:rPr>
              <w:t>elotnej 1</w:t>
            </w:r>
          </w:p>
        </w:tc>
      </w:tr>
      <w:tr>
        <w:trPr>
          <w:trHeight w:val="735" w:hRule="atLeast"/>
        </w:trPr>
        <w:tc>
          <w:tcPr>
            <w:tcW w:w="36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l-PL"/>
              </w:rPr>
              <w:t>parter</w:t>
            </w:r>
          </w:p>
        </w:tc>
        <w:tc>
          <w:tcPr>
            <w:tcW w:w="2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l-PL"/>
              </w:rPr>
              <w:t>powierzchnia projektowa</w:t>
            </w:r>
          </w:p>
        </w:tc>
        <w:tc>
          <w:tcPr>
            <w:tcW w:w="1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l-PL"/>
              </w:rPr>
              <w:t>kwota partycypacji do wpłaty</w:t>
            </w:r>
          </w:p>
        </w:tc>
        <w:tc>
          <w:tcPr>
            <w:tcW w:w="14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l-PL"/>
              </w:rPr>
              <w:t>kaucja do wpłaty</w:t>
            </w:r>
          </w:p>
        </w:tc>
      </w:tr>
      <w:tr>
        <w:trPr>
          <w:trHeight w:val="398" w:hRule="atLeast"/>
        </w:trPr>
        <w:tc>
          <w:tcPr>
            <w:tcW w:w="36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Lokal nr </w:t>
            </w:r>
            <w:r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3 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>pokoje  z balkonem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>55,10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41 204,00</w:t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7 273,20</w:t>
            </w:r>
          </w:p>
        </w:tc>
      </w:tr>
      <w:tr>
        <w:trPr>
          <w:trHeight w:val="398" w:hRule="atLeast"/>
        </w:trPr>
        <w:tc>
          <w:tcPr>
            <w:tcW w:w="36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piętro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98" w:hRule="atLeast"/>
        </w:trPr>
        <w:tc>
          <w:tcPr>
            <w:tcW w:w="36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Lokal nr </w:t>
            </w:r>
            <w:r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2</w:t>
            </w:r>
          </w:p>
          <w:p>
            <w:pPr>
              <w:pStyle w:val="Normal"/>
              <w:spacing w:lineRule="auto" w:line="240" w:before="0" w:after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Calibri"/>
                <w:b w:val="false"/>
                <w:bCs w:val="false"/>
                <w:sz w:val="24"/>
                <w:szCs w:val="24"/>
                <w:lang w:eastAsia="pl-PL"/>
              </w:rPr>
              <w:t>2</w:t>
            </w:r>
            <w:r>
              <w:rPr>
                <w:rFonts w:eastAsia="Times New Roman" w:cs="Calibri"/>
                <w:b w:val="false"/>
                <w:bCs w:val="false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Calibri"/>
                <w:b w:val="false"/>
                <w:bCs w:val="false"/>
                <w:sz w:val="24"/>
                <w:szCs w:val="24"/>
                <w:lang w:eastAsia="pl-PL"/>
              </w:rPr>
              <w:t xml:space="preserve">pokoje 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>45,30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33 875,00</w:t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5 979,60</w:t>
            </w:r>
          </w:p>
        </w:tc>
      </w:tr>
      <w:tr>
        <w:trPr>
          <w:trHeight w:val="398" w:hRule="atLeast"/>
        </w:trPr>
        <w:tc>
          <w:tcPr>
            <w:tcW w:w="36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II piętro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r>
          </w:p>
        </w:tc>
      </w:tr>
      <w:tr>
        <w:trPr>
          <w:trHeight w:val="398" w:hRule="atLeast"/>
        </w:trPr>
        <w:tc>
          <w:tcPr>
            <w:tcW w:w="36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Lokal nr </w:t>
            </w:r>
            <w:r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5</w:t>
            </w:r>
          </w:p>
          <w:p>
            <w:pPr>
              <w:pStyle w:val="Normal"/>
              <w:spacing w:lineRule="auto" w:line="240" w:before="0" w:after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Calibri"/>
                <w:b w:val="false"/>
                <w:bCs w:val="false"/>
                <w:sz w:val="24"/>
                <w:szCs w:val="24"/>
                <w:lang w:eastAsia="pl-PL"/>
              </w:rPr>
              <w:t xml:space="preserve">2 </w:t>
            </w:r>
            <w:r>
              <w:rPr>
                <w:rFonts w:eastAsia="Times New Roman" w:cs="Calibri"/>
                <w:b w:val="false"/>
                <w:bCs w:val="false"/>
                <w:sz w:val="24"/>
                <w:szCs w:val="24"/>
                <w:lang w:eastAsia="pl-PL"/>
              </w:rPr>
              <w:t>pokoje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>45,30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33 875,00</w:t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5 979,60</w:t>
            </w:r>
          </w:p>
        </w:tc>
      </w:tr>
      <w:tr>
        <w:trPr>
          <w:trHeight w:val="398" w:hRule="atLeast"/>
        </w:trPr>
        <w:tc>
          <w:tcPr>
            <w:tcW w:w="36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Lokal nr </w:t>
            </w:r>
            <w:r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6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b w:val="false"/>
                <w:b w:val="false"/>
                <w:bCs w:val="false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b w:val="false"/>
                <w:bCs w:val="false"/>
                <w:sz w:val="24"/>
                <w:szCs w:val="24"/>
                <w:lang w:eastAsia="pl-PL"/>
              </w:rPr>
              <w:t>pokój z aneksem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>34,90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26 098,00</w:t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4 606,80</w:t>
            </w:r>
          </w:p>
        </w:tc>
      </w:tr>
      <w:tr>
        <w:trPr>
          <w:trHeight w:val="398" w:hRule="atLeast"/>
        </w:trPr>
        <w:tc>
          <w:tcPr>
            <w:tcW w:w="36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I</w:t>
            </w:r>
            <w:r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II piętro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98" w:hRule="atLeast"/>
        </w:trPr>
        <w:tc>
          <w:tcPr>
            <w:tcW w:w="36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Lokal nr </w:t>
            </w:r>
            <w:r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9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b w:val="false"/>
                <w:b w:val="false"/>
                <w:bCs w:val="false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b w:val="false"/>
                <w:bCs w:val="false"/>
                <w:sz w:val="24"/>
                <w:szCs w:val="24"/>
                <w:lang w:eastAsia="pl-PL"/>
              </w:rPr>
              <w:t>pokój z aneksem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>34,90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26 098,00</w:t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4 606,80</w:t>
            </w:r>
          </w:p>
        </w:tc>
      </w:tr>
      <w:tr>
        <w:trPr>
          <w:trHeight w:val="398" w:hRule="atLeast"/>
        </w:trPr>
        <w:tc>
          <w:tcPr>
            <w:tcW w:w="36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Lokal nr </w:t>
            </w:r>
            <w:r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Calibri"/>
                <w:b w:val="false"/>
                <w:bCs w:val="false"/>
                <w:sz w:val="24"/>
                <w:szCs w:val="24"/>
                <w:lang w:eastAsia="pl-PL"/>
              </w:rPr>
              <w:t xml:space="preserve">2 </w:t>
            </w:r>
            <w:r>
              <w:rPr>
                <w:rFonts w:eastAsia="Times New Roman" w:cs="Calibri"/>
                <w:b w:val="false"/>
                <w:bCs w:val="false"/>
                <w:sz w:val="24"/>
                <w:szCs w:val="24"/>
                <w:lang w:eastAsia="pl-PL"/>
              </w:rPr>
              <w:t>pokoje  z balkonem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>47,30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35 371,00</w:t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6 243,60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 xml:space="preserve">Na stronie </w:t>
      </w:r>
      <w:hyperlink r:id="rId2">
        <w:r>
          <w:rPr>
            <w:rStyle w:val="Czeinternetowe"/>
            <w:rFonts w:cs="Times New Roman" w:ascii="Times New Roman" w:hAnsi="Times New Roman"/>
            <w:b/>
            <w:bCs/>
            <w:i w:val="false"/>
            <w:iCs w:val="false"/>
            <w:sz w:val="24"/>
            <w:szCs w:val="24"/>
          </w:rPr>
          <w:t>http://www.tbskg.com.pl</w:t>
        </w:r>
      </w:hyperlink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. dostępna jest wizualizacja budynku z lokalami.</w:t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Wysokość stawki czynszu najmu za 1 m</w:t>
      </w:r>
      <w:r>
        <w:rPr>
          <w:rFonts w:cs="Times New Roman" w:ascii="Times New Roman" w:hAnsi="Times New Roman"/>
          <w:b/>
          <w:bCs/>
          <w:sz w:val="24"/>
          <w:szCs w:val="24"/>
          <w:vertAlign w:val="superscript"/>
        </w:rPr>
        <w:t xml:space="preserve">2  </w:t>
      </w:r>
      <w:r>
        <w:rPr>
          <w:rFonts w:cs="Times New Roman" w:ascii="Times New Roman" w:hAnsi="Times New Roman"/>
          <w:b/>
          <w:bCs/>
          <w:position w:val="0"/>
          <w:sz w:val="24"/>
          <w:sz w:val="24"/>
          <w:szCs w:val="24"/>
          <w:vertAlign w:val="baseline"/>
        </w:rPr>
        <w:t>powierzchni użytkowej lokali nie będzie przekraczał w skali roku 4%  wartości odtworzeniowej lokalu, obliczanej zgodnie z art. 9 ust. 8 ustawy z dnia 21 czerwca 2001 o ochronie praw lokatorów, mieszkaniowym zasobie gminy i o zmianie kodeksu cywilnego.</w:t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position w:val="0"/>
          <w:sz w:val="24"/>
          <w:sz w:val="24"/>
          <w:szCs w:val="24"/>
          <w:vertAlign w:val="baseline"/>
        </w:rPr>
        <w:t>Proponowana wysokość s</w:t>
      </w:r>
      <w:r>
        <w:rPr>
          <w:rFonts w:cs="Times New Roman" w:ascii="Times New Roman" w:hAnsi="Times New Roman"/>
          <w:b/>
          <w:bCs/>
          <w:position w:val="0"/>
          <w:sz w:val="24"/>
          <w:sz w:val="24"/>
          <w:szCs w:val="24"/>
          <w:vertAlign w:val="baseline"/>
        </w:rPr>
        <w:t>tawk</w:t>
      </w:r>
      <w:r>
        <w:rPr>
          <w:rFonts w:cs="Times New Roman" w:ascii="Times New Roman" w:hAnsi="Times New Roman"/>
          <w:b/>
          <w:bCs/>
          <w:position w:val="0"/>
          <w:sz w:val="24"/>
          <w:sz w:val="24"/>
          <w:szCs w:val="24"/>
          <w:vertAlign w:val="baseline"/>
        </w:rPr>
        <w:t>i</w:t>
      </w:r>
      <w:r>
        <w:rPr>
          <w:rFonts w:cs="Times New Roman" w:ascii="Times New Roman" w:hAnsi="Times New Roman"/>
          <w:b/>
          <w:bCs/>
          <w:position w:val="0"/>
          <w:sz w:val="24"/>
          <w:sz w:val="24"/>
          <w:szCs w:val="24"/>
          <w:vertAlign w:val="baseline"/>
        </w:rPr>
        <w:t xml:space="preserve"> czynszu </w:t>
      </w:r>
      <w:r>
        <w:rPr>
          <w:rFonts w:cs="Times New Roman" w:ascii="Times New Roman" w:hAnsi="Times New Roman"/>
          <w:b/>
          <w:bCs/>
          <w:position w:val="0"/>
          <w:sz w:val="24"/>
          <w:sz w:val="24"/>
          <w:szCs w:val="24"/>
          <w:vertAlign w:val="baseline"/>
        </w:rPr>
        <w:t xml:space="preserve">wynosi 11,00 zł </w:t>
      </w:r>
    </w:p>
    <w:p>
      <w:pPr>
        <w:pStyle w:val="Tekstwstpniesformatowany"/>
        <w:jc w:val="both"/>
        <w:rPr/>
      </w:pPr>
      <w:r>
        <w:rPr>
          <w:rFonts w:cs="Times New Roman" w:ascii="Times New Roman" w:hAnsi="Times New Roman"/>
          <w:b/>
          <w:bCs/>
          <w:position w:val="0"/>
          <w:sz w:val="24"/>
          <w:sz w:val="24"/>
          <w:szCs w:val="24"/>
          <w:vertAlign w:val="baseline"/>
        </w:rPr>
        <w:t xml:space="preserve">Termin oddania inwestycji przewidziany jest na </w:t>
      </w:r>
      <w:r>
        <w:rPr>
          <w:rFonts w:cs="Times New Roman" w:ascii="Times New Roman" w:hAnsi="Times New Roman"/>
          <w:b/>
          <w:bCs/>
          <w:position w:val="0"/>
          <w:sz w:val="24"/>
          <w:sz w:val="24"/>
          <w:szCs w:val="24"/>
          <w:vertAlign w:val="baseline"/>
        </w:rPr>
        <w:t xml:space="preserve">III kwartał </w:t>
      </w:r>
      <w:r>
        <w:rPr>
          <w:rFonts w:cs="Times New Roman" w:ascii="Times New Roman" w:hAnsi="Times New Roman"/>
          <w:b/>
          <w:bCs/>
          <w:position w:val="0"/>
          <w:sz w:val="24"/>
          <w:sz w:val="24"/>
          <w:szCs w:val="24"/>
          <w:vertAlign w:val="baseline"/>
        </w:rPr>
        <w:t>2022 rok, jednakże zastrzeg</w:t>
      </w:r>
      <w:r>
        <w:rPr>
          <w:b/>
          <w:bCs/>
        </w:rPr>
        <w:t>a sobie możliwość zmiany tego terminu.</w:t>
      </w:r>
    </w:p>
    <w:p>
      <w:pPr>
        <w:pStyle w:val="Tekstwstpniesformatowany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Tekstwstpniesformatowany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Szczegółowych informacji w dotyczących lokali oraz warunków najmu udziela </w:t>
      </w:r>
      <w:r>
        <w:rPr>
          <w:rFonts w:ascii="Times New Roman" w:hAnsi="Times New Roman"/>
          <w:b/>
          <w:bCs/>
          <w:i w:val="false"/>
          <w:iCs w:val="false"/>
          <w:sz w:val="24"/>
          <w:szCs w:val="24"/>
        </w:rPr>
        <w:t xml:space="preserve">Towarzystwo Budownictwa Społecznego „TBS” Sp. z o. o. ul. Sienkiewicza 7, 58-400 Kamienna Góra tel: 75/ 744 26 14 . </w:t>
      </w:r>
    </w:p>
    <w:p>
      <w:pPr>
        <w:pStyle w:val="Tekstwstpniesformatowany"/>
        <w:jc w:val="both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i w:val="false"/>
          <w:iCs w:val="false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Wnioski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można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składać w Urzędzie Miejskim w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Mieroszowie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,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p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l.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Niepodległości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1 (w godz. 7: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3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0 – 1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5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: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3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0,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poniedziałek, wtorek, czwartek;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w godz. 7: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3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0 do 1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6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: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3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0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w środy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,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oraz                     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w piątk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i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w godz. 7: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3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0 do 14: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3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0), 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lub za pośrednictwem poczty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(decyduje data st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em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pla pocztowego).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Termin składania wniosków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od dnia 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12 maja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do 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dnia 10 czerwca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20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2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2 r.. </w:t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Do wniosku należy dołączyć deklarację o średnim miesięcznym dochodzie przypadającym na gospodarstwo domowe w roku poprzednim oraz oświadczenie o braku tytułu prawnego do innego lokalu mieszkalnego w tej samej miejscowości. W deklaracji uwzględnia się osoby będące członkami gospodarstwa domowego w dniu jej składania.</w:t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Druk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wniosku -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INDYWIDUALNY ARKUSZ OCENY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oraz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druk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deklaracji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dostępny jest do pobrania na stronie Urzędu Miejskiego  w Mieroszowie oraz w Biurze Obsługi Klienta Urzędu Miejskiego w Mieroszowie – Pl. Niepodległości 1. </w:t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Wypełnione dokumenty należy umieścić w zamkniętej kopercie z napisem „Nabór wniosków do zawarcia umowy o najem lokali mieszkalnych w budynku przy ul.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Przelotnej 1                             w Mieroszowie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”. Na kopercie należy umieścić dane kontaktowe wnioskodawcy z numerem telefonu. </w:t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Zasady wynajmowania lokali określono w Zarządzeniu Nr 1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26/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202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1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Burmistrza Mi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eroszowa z dnia 17 czerwca 2021r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. w sprawie ustalenia zasad wynajmowania lokali mieszkalnych                w budynku przy przy ul.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Przelotnej 1 w  Mieroszowie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stanowiący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m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własność Towarzystwa Budownictwa Społecznego „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TBS”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Sp. z o. o.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w Kamiennej Górze w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ybudowanych przy udziale finansowym Gminy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Mieroszów ze zmianami ( Zarządzenie Nr 140/2021 Burmistrza Mieroszowa z dnia 01 lipca 2021r). </w:t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Dodatkowe i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nformacj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e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w sprawach naboru wniosków udziela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ne są w Urzędzie Miejskim              w Mieroszowie pod numerem tel. 74 3030040 oraz 743030488.</w:t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sectPr>
      <w:type w:val="nextPage"/>
      <w:pgSz w:w="11906" w:h="16838"/>
      <w:pgMar w:left="1417" w:right="1417" w:header="0" w:top="1135" w:footer="0" w:bottom="1135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  <w:font w:name="Times New Roman">
    <w:charset w:val="ee"/>
    <w:family w:val="roman"/>
    <w:pitch w:val="variable"/>
  </w:font>
  <w:font w:name="Liberation Mono">
    <w:altName w:val="Courier New"/>
    <w:charset w:val="ee"/>
    <w:family w:val="modern"/>
    <w:pitch w:val="fixed"/>
  </w:font>
</w:fonts>
</file>

<file path=word/settings.xml><?xml version="1.0" encoding="utf-8"?>
<w:settings xmlns:w="http://schemas.openxmlformats.org/wordprocessingml/2006/main">
  <w:zoom w:percent="82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Tahoma"/>
        <w:sz w:val="22"/>
        <w:szCs w:val="22"/>
        <w:lang w:val="pl-PL" w:eastAsia="en-US" w:bidi="ar-SA"/>
      </w:rPr>
    </w:rPrDefault>
    <w:pPrDefault>
      <w:pPr>
        <w:suppressAutoHyphens w:val="true"/>
        <w:spacing w:lineRule="auto" w:line="276"/>
      </w:pPr>
    </w:pPrDefault>
  </w:docDefaults>
  <w:style w:type="paragraph" w:styleId="Normal">
    <w:name w:val="Normal"/>
    <w:qFormat/>
    <w:pPr>
      <w:widowControl/>
      <w:numPr>
        <w:ilvl w:val="0"/>
        <w:numId w:val="0"/>
      </w:numPr>
      <w:kinsoku w:val="true"/>
      <w:overflowPunct w:val="true"/>
      <w:autoSpaceDE w:val="true"/>
      <w:bidi w:val="0"/>
      <w:spacing w:lineRule="auto" w:line="276" w:before="0" w:after="200"/>
    </w:pPr>
    <w:rPr>
      <w:rFonts w:ascii="Calibri" w:hAnsi="Calibri" w:eastAsia="SimSun" w:cs="Tahoma"/>
      <w:color w:val="auto"/>
      <w:sz w:val="22"/>
      <w:szCs w:val="22"/>
      <w:lang w:val="pl-PL" w:eastAsia="en-US" w:bidi="ar-SA"/>
    </w:rPr>
  </w:style>
  <w:style w:type="character" w:styleId="DefaultParagraphFont">
    <w:name w:val="Default Paragraph Font"/>
    <w:qFormat/>
    <w:rPr/>
  </w:style>
  <w:style w:type="character" w:styleId="Znakinumeracji">
    <w:name w:val="Znaki numeracji"/>
    <w:qFormat/>
    <w:rPr/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numPr>
        <w:ilvl w:val="0"/>
        <w:numId w:val="0"/>
      </w:numPr>
      <w:ind w:left="720" w:right="0" w:hanging="0"/>
    </w:pPr>
    <w:rPr/>
  </w:style>
  <w:style w:type="paragraph" w:styleId="NormalWeb">
    <w:name w:val="Normal (Web)"/>
    <w:basedOn w:val="Normal"/>
    <w:qFormat/>
    <w:pPr>
      <w:numPr>
        <w:ilvl w:val="0"/>
        <w:numId w:val="0"/>
      </w:numPr>
      <w:spacing w:lineRule="auto" w:line="240" w:before="100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Tekstwstpniesformatowany">
    <w:name w:val="Tekst wstępnie sformatowany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bskg.com.pl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Application>LibreOffice/7.1.1.2$Windows_X86_64 LibreOffice_project/fe0b08f4af1bacafe4c7ecc87ce55bb426164676</Application>
  <AppVersion>15.0000</AppVersion>
  <Pages>2</Pages>
  <Words>486</Words>
  <Characters>2726</Characters>
  <CharactersWithSpaces>3262</CharactersWithSpaces>
  <Paragraphs>52</Paragraphs>
  <Company>Urząd Miejski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2015-05-12T08:52:00Z</dcterms:created>
  <dc:creator>dsiejka</dc:creator>
  <dc:description/>
  <dc:language>pl-PL</dc:language>
  <cp:lastModifiedBy/>
  <cp:lastPrinted>2022-05-11T15:11:09Z</cp:lastPrinted>
  <dcterms:modified xsi:type="dcterms:W3CDTF">2022-05-11T15:14:27Z</dcterms:modified>
  <cp:revision>87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