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>BURMISTRZ   MIEROSZOWA</w:t>
      </w:r>
    </w:p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>58-350 Mieroszów,  Plac Niepodległości 1</w:t>
      </w:r>
    </w:p>
    <w:p>
      <w:pPr>
        <w:pStyle w:val="Normal"/>
        <w:autoSpaceDE w:val="false"/>
        <w:bidi w:val="0"/>
        <w:jc w:val="center"/>
        <w:rPr>
          <w:b/>
          <w:b/>
          <w:bCs/>
          <w:color w:val="auto"/>
          <w:sz w:val="23"/>
          <w:szCs w:val="23"/>
          <w:lang w:val="pl-PL" w:eastAsia="zxx" w:bidi="zxx"/>
        </w:rPr>
      </w:pPr>
      <w:r>
        <w:rPr>
          <w:b/>
          <w:bCs/>
          <w:color w:val="auto"/>
          <w:sz w:val="23"/>
          <w:szCs w:val="23"/>
          <w:lang w:val="pl-PL" w:eastAsia="zxx" w:bidi="zxx"/>
        </w:rPr>
        <w:t xml:space="preserve">ogłasza I przetarg ustny nieograniczony na sprzedaż nieruchomości gruntowej bez zabudowań, położonej w obrębie </w:t>
      </w:r>
      <w:r>
        <w:rPr>
          <w:b/>
          <w:bCs/>
          <w:color w:val="auto"/>
          <w:sz w:val="23"/>
          <w:szCs w:val="23"/>
          <w:lang w:val="pl-PL" w:eastAsia="zxx" w:bidi="zxx"/>
        </w:rPr>
        <w:t>Różana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, składającej się z działki nr </w:t>
      </w:r>
      <w:r>
        <w:rPr>
          <w:b/>
          <w:bCs/>
          <w:color w:val="auto"/>
          <w:sz w:val="23"/>
          <w:szCs w:val="23"/>
          <w:lang w:val="pl-PL" w:eastAsia="zxx" w:bidi="zxx"/>
        </w:rPr>
        <w:t>25/1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 o powierzchni 0,</w:t>
      </w:r>
      <w:r>
        <w:rPr>
          <w:b/>
          <w:bCs/>
          <w:color w:val="auto"/>
          <w:sz w:val="23"/>
          <w:szCs w:val="23"/>
          <w:lang w:val="pl-PL" w:eastAsia="zxx" w:bidi="zxx"/>
        </w:rPr>
        <w:t>0474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 ha.</w:t>
      </w:r>
    </w:p>
    <w:p>
      <w:pPr>
        <w:pStyle w:val="Normal"/>
        <w:autoSpaceDE w:val="false"/>
        <w:bidi w:val="0"/>
        <w:jc w:val="both"/>
        <w:rPr>
          <w:b/>
          <w:b/>
          <w:bCs/>
          <w:color w:val="auto"/>
          <w:sz w:val="12"/>
          <w:szCs w:val="12"/>
          <w:u w:val="single"/>
          <w:shd w:fill="auto" w:val="clear"/>
          <w:lang w:val="pl-PL" w:eastAsia="zxx" w:bidi="zxx"/>
        </w:rPr>
      </w:pPr>
      <w:r>
        <w:rPr>
          <w:b/>
          <w:bCs/>
          <w:color w:val="000000"/>
          <w:sz w:val="12"/>
          <w:szCs w:val="12"/>
          <w:u w:val="single"/>
          <w:shd w:fill="auto" w:val="clear"/>
          <w:lang w:val="pl-PL" w:eastAsia="zxx" w:bidi="zxx"/>
        </w:rPr>
      </w:r>
    </w:p>
    <w:p>
      <w:pPr>
        <w:pStyle w:val="Normal"/>
        <w:autoSpaceDE w:val="false"/>
        <w:bidi w:val="0"/>
        <w:jc w:val="both"/>
        <w:rPr>
          <w:b/>
          <w:b/>
          <w:bCs/>
          <w:color w:val="auto"/>
          <w:sz w:val="23"/>
          <w:szCs w:val="23"/>
          <w:u w:val="none"/>
          <w:shd w:fill="auto" w:val="clear"/>
          <w:lang w:val="pl-PL" w:eastAsia="zxx" w:bidi="zxx"/>
        </w:rPr>
      </w:pPr>
      <w:r>
        <w:rPr>
          <w:b/>
          <w:bCs/>
          <w:color w:val="000000"/>
          <w:sz w:val="23"/>
          <w:szCs w:val="23"/>
          <w:u w:val="none"/>
          <w:shd w:fill="auto" w:val="clear"/>
          <w:lang w:val="pl-PL" w:eastAsia="zxx" w:bidi="zxx"/>
        </w:rPr>
        <w:t xml:space="preserve">Opis nieruchomości: 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Nieruchomość gruntowa 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niezabudowana, </w:t>
      </w:r>
      <w:r>
        <w:rPr>
          <w:color w:val="000000"/>
          <w:sz w:val="23"/>
          <w:szCs w:val="23"/>
          <w:shd w:fill="auto" w:val="clear"/>
          <w:lang w:val="pl-PL" w:eastAsia="zxx" w:bidi="zxx"/>
        </w:rPr>
        <w:t xml:space="preserve">aktualnie stanowi niezagospodarowany obszar porośnięty trawami i chwastami. W skrajnej części działki, bezpośrednio przy drodze teren utwardzony pozostałością posadzki z płytek lastrykowych po małym pawilonie handlowym. Działka gruntowa                    o  w miarę regularnym kształcie wieloboku z zachowaną proporcją długości boków, teren wypłaszczony z uskokami i nierównościami, w dużej części podmokły. Otaczający teren uzbrojony w sieć energetyczną i wodociągową. Użytek gruntowy: Bp – 0,0474 ha. Zgodnie z 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miejscowym plan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em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zagospodarowania przestrzennego miasta i gminy Mieroszów teren obejmujący nieruchomość oznaczony jest symbol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a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m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i MP – tereny przeznaczone dla jednorodzinnej zabudowy mieszkaniowej                 z lokalami i powierzchniami terenu przeznaczonymi dla prowadzenia nieuciążliwej działalności niekomercyjnej lub komercyjnej oraz KZ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 – teren</w:t>
      </w: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>y dróg i ulic zbiorczych. Działka objęta jest granicami strefy „K” ochrony krajobrazu.</w:t>
      </w:r>
    </w:p>
    <w:p>
      <w:pPr>
        <w:pStyle w:val="Normal"/>
        <w:bidi w:val="0"/>
        <w:jc w:val="both"/>
        <w:rPr>
          <w:b w:val="false"/>
          <w:b w:val="false"/>
          <w:bCs w:val="false"/>
          <w:color w:val="auto"/>
          <w:sz w:val="23"/>
          <w:szCs w:val="23"/>
          <w:u w:val="none"/>
          <w:lang w:val="pl-PL" w:eastAsia="zxx" w:bidi="zxx"/>
        </w:rPr>
      </w:pPr>
      <w:r>
        <w:rPr>
          <w:b w:val="false"/>
          <w:bCs w:val="false"/>
          <w:color w:val="auto"/>
          <w:sz w:val="23"/>
          <w:szCs w:val="23"/>
          <w:u w:val="none"/>
          <w:lang w:val="pl-PL" w:eastAsia="zxx" w:bidi="zxx"/>
        </w:rPr>
        <w:t xml:space="preserve">Dojazd i dostęp do nieruchomości bezpośrednio z drogi asfaltowej. 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auto"/>
          <w:sz w:val="23"/>
          <w:szCs w:val="23"/>
          <w:lang w:val="pl-PL" w:eastAsia="zxx" w:bidi="zxx"/>
        </w:rPr>
        <w:t>Nieruchomość ma założoną księgę wieczystą Kw nr SW1W/000</w:t>
      </w:r>
      <w:r>
        <w:rPr>
          <w:color w:val="auto"/>
          <w:sz w:val="23"/>
          <w:szCs w:val="23"/>
          <w:lang w:val="pl-PL" w:eastAsia="zxx" w:bidi="zxx"/>
        </w:rPr>
        <w:t>22379/6</w:t>
      </w:r>
      <w:r>
        <w:rPr>
          <w:color w:val="auto"/>
          <w:sz w:val="23"/>
          <w:szCs w:val="23"/>
          <w:lang w:val="pl-PL" w:eastAsia="zxx" w:bidi="zxx"/>
        </w:rPr>
        <w:t>.</w:t>
      </w:r>
    </w:p>
    <w:p>
      <w:pPr>
        <w:pStyle w:val="Normal"/>
        <w:autoSpaceDE w:val="false"/>
        <w:bidi w:val="0"/>
        <w:jc w:val="both"/>
        <w:rPr>
          <w:color w:val="auto"/>
          <w:sz w:val="23"/>
          <w:szCs w:val="23"/>
          <w:lang w:val="pl-PL" w:eastAsia="zxx" w:bidi="zxx"/>
        </w:rPr>
      </w:pPr>
      <w:r>
        <w:rPr>
          <w:color w:val="auto"/>
          <w:sz w:val="23"/>
          <w:szCs w:val="23"/>
          <w:lang w:val="pl-PL" w:eastAsia="zxx" w:bidi="zxx"/>
        </w:rPr>
        <w:t>Nieruchomość jest wolna od roszczeń i praw osób trzecich.</w:t>
      </w:r>
    </w:p>
    <w:p>
      <w:pPr>
        <w:pStyle w:val="Normal"/>
        <w:autoSpaceDE w:val="false"/>
        <w:bidi w:val="0"/>
        <w:spacing w:before="113" w:after="0"/>
        <w:jc w:val="left"/>
        <w:rPr>
          <w:rFonts w:ascii="Times New Roman" w:hAnsi="Times New Roman"/>
          <w:b/>
          <w:b/>
          <w:bCs/>
          <w:i w:val="false"/>
          <w:i w:val="false"/>
          <w:iCs w:val="false"/>
          <w:color w:val="auto"/>
          <w:sz w:val="23"/>
          <w:szCs w:val="23"/>
          <w:shd w:fill="auto" w:val="clear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  <w:t>Informacje o przetargu: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113" w:after="0"/>
        <w:jc w:val="left"/>
        <w:rPr>
          <w:sz w:val="23"/>
          <w:szCs w:val="23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 xml:space="preserve">Cena wywoławcza </w:t>
      </w:r>
      <w:r>
        <w:rPr>
          <w:b/>
          <w:bCs/>
          <w:color w:val="000000"/>
          <w:sz w:val="23"/>
          <w:szCs w:val="23"/>
          <w:lang w:val="pl-PL" w:eastAsia="zxx" w:bidi="zxx"/>
        </w:rPr>
        <w:t>2</w:t>
      </w:r>
      <w:r>
        <w:rPr>
          <w:b/>
          <w:bCs/>
          <w:color w:val="000000"/>
          <w:sz w:val="23"/>
          <w:szCs w:val="23"/>
          <w:lang w:val="pl-PL" w:eastAsia="zxx" w:bidi="zxx"/>
        </w:rPr>
        <w:t>1</w:t>
      </w:r>
      <w:r>
        <w:rPr>
          <w:b/>
          <w:bCs/>
          <w:color w:val="000000"/>
          <w:sz w:val="23"/>
          <w:szCs w:val="23"/>
          <w:lang w:val="pl-PL" w:eastAsia="zxx" w:bidi="zxx"/>
        </w:rPr>
        <w:t>.</w:t>
      </w:r>
      <w:r>
        <w:rPr>
          <w:b/>
          <w:bCs/>
          <w:color w:val="000000"/>
          <w:sz w:val="23"/>
          <w:szCs w:val="23"/>
          <w:lang w:val="pl-PL" w:eastAsia="zxx" w:bidi="zxx"/>
        </w:rPr>
        <w:t>0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00 zł 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w tym 23% VAT w kwocie </w:t>
      </w:r>
      <w:r>
        <w:rPr>
          <w:b/>
          <w:bCs/>
          <w:color w:val="000000"/>
          <w:sz w:val="23"/>
          <w:szCs w:val="23"/>
          <w:lang w:val="pl-PL" w:eastAsia="zxx" w:bidi="zxx"/>
        </w:rPr>
        <w:t>3.926,83 zł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5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 xml:space="preserve">Wadium w wysokości  </w:t>
      </w:r>
      <w:r>
        <w:rPr>
          <w:b/>
          <w:bCs/>
          <w:color w:val="000000"/>
          <w:sz w:val="23"/>
          <w:szCs w:val="23"/>
          <w:lang w:val="pl-PL" w:eastAsia="zxx" w:bidi="zxx"/>
        </w:rPr>
        <w:t>2</w:t>
      </w:r>
      <w:r>
        <w:rPr>
          <w:b/>
          <w:bCs/>
          <w:color w:val="000000"/>
          <w:sz w:val="23"/>
          <w:szCs w:val="23"/>
          <w:lang w:val="pl-PL" w:eastAsia="zxx" w:bidi="zxx"/>
        </w:rPr>
        <w:t>.</w:t>
      </w:r>
      <w:r>
        <w:rPr>
          <w:b/>
          <w:bCs/>
          <w:color w:val="000000"/>
          <w:sz w:val="23"/>
          <w:szCs w:val="23"/>
          <w:lang w:val="pl-PL" w:eastAsia="zxx" w:bidi="zxx"/>
        </w:rPr>
        <w:t>1</w:t>
      </w:r>
      <w:r>
        <w:rPr>
          <w:b/>
          <w:bCs/>
          <w:color w:val="000000"/>
          <w:sz w:val="23"/>
          <w:szCs w:val="23"/>
          <w:lang w:val="pl-PL" w:eastAsia="zxx" w:bidi="zxx"/>
        </w:rPr>
        <w:t>00 zł</w:t>
      </w:r>
    </w:p>
    <w:p>
      <w:pPr>
        <w:pStyle w:val="Normal"/>
        <w:numPr>
          <w:ilvl w:val="0"/>
          <w:numId w:val="1"/>
        </w:numPr>
        <w:autoSpaceDE w:val="false"/>
        <w:bidi w:val="0"/>
        <w:spacing w:before="5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>Postąpienie stanowi nie mniej niż 1% ceny wywoławczej z zaokrągleniem w górę do pełnych dziesiątek złotych</w:t>
      </w:r>
    </w:p>
    <w:p>
      <w:pPr>
        <w:pStyle w:val="Normal"/>
        <w:autoSpaceDE w:val="false"/>
        <w:bidi w:val="0"/>
        <w:spacing w:before="227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 xml:space="preserve">Przetarg odbędzie się w dniu </w:t>
      </w:r>
      <w:r>
        <w:rPr>
          <w:b/>
          <w:bCs/>
          <w:color w:val="000000"/>
          <w:sz w:val="23"/>
          <w:szCs w:val="23"/>
          <w:lang w:val="pl-PL" w:eastAsia="zxx" w:bidi="zxx"/>
        </w:rPr>
        <w:t>18 stycznia 2022 r.</w:t>
      </w:r>
      <w:r>
        <w:rPr>
          <w:b/>
          <w:bCs/>
          <w:color w:val="auto"/>
          <w:sz w:val="23"/>
          <w:szCs w:val="23"/>
          <w:lang w:val="pl-PL" w:eastAsia="zxx" w:bidi="zxx"/>
        </w:rPr>
        <w:t xml:space="preserve"> o godzinie 1</w:t>
      </w:r>
      <w:r>
        <w:rPr>
          <w:b/>
          <w:bCs/>
          <w:color w:val="auto"/>
          <w:sz w:val="23"/>
          <w:szCs w:val="23"/>
          <w:lang w:val="pl-PL" w:eastAsia="zxx" w:bidi="zxx"/>
        </w:rPr>
        <w:t>0</w:t>
      </w:r>
      <w:r>
        <w:rPr>
          <w:b/>
          <w:bCs/>
          <w:color w:val="auto"/>
          <w:sz w:val="23"/>
          <w:szCs w:val="23"/>
          <w:lang w:val="pl-PL" w:eastAsia="zxx" w:bidi="zxx"/>
        </w:rPr>
        <w:t>:00 w</w:t>
      </w:r>
      <w:r>
        <w:rPr>
          <w:b/>
          <w:bCs/>
          <w:color w:val="000000"/>
          <w:sz w:val="23"/>
          <w:szCs w:val="23"/>
          <w:lang w:val="pl-PL" w:eastAsia="zxx" w:bidi="zxx"/>
        </w:rPr>
        <w:t xml:space="preserve"> budynku Urzędu Miejskiego                   w Mieroszowie  - sala posiedzeń, II piętro. 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u w:val="none"/>
          <w:lang w:val="pl-PL" w:eastAsia="zxx" w:bidi="zxx"/>
        </w:rPr>
      </w:pPr>
      <w:r>
        <w:rPr>
          <w:b/>
          <w:bCs/>
          <w:color w:val="000000"/>
          <w:sz w:val="23"/>
          <w:szCs w:val="23"/>
          <w:u w:val="none"/>
          <w:lang w:val="pl-PL" w:eastAsia="zxx" w:bidi="zxx"/>
        </w:rPr>
        <w:t>Warunkiem udziału w przetargu jest: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 xml:space="preserve">1. Wniesienie kwoty </w:t>
      </w:r>
      <w:r>
        <w:rPr>
          <w:b/>
          <w:color w:val="000000"/>
          <w:sz w:val="23"/>
          <w:szCs w:val="23"/>
          <w:u w:val="single"/>
          <w:lang w:val="pl-PL" w:eastAsia="zxx" w:bidi="zxx"/>
        </w:rPr>
        <w:t>wadium</w:t>
      </w:r>
      <w:r>
        <w:rPr>
          <w:color w:val="000000"/>
          <w:sz w:val="23"/>
          <w:szCs w:val="23"/>
          <w:lang w:val="pl-PL" w:eastAsia="zxx" w:bidi="zxx"/>
        </w:rPr>
        <w:t xml:space="preserve"> na konto: </w:t>
      </w:r>
      <w:r>
        <w:rPr>
          <w:b/>
          <w:bCs/>
          <w:color w:val="000000"/>
          <w:sz w:val="23"/>
          <w:szCs w:val="23"/>
          <w:lang w:val="pl-PL" w:eastAsia="zxx" w:bidi="zxx"/>
        </w:rPr>
        <w:t>Gmina Mieroszów - Bank Spółdzielczy w Kamiennej Górze nr 07 8395 0001 0021 8115 2000 0008</w:t>
      </w:r>
      <w:r>
        <w:rPr>
          <w:color w:val="FF3333"/>
          <w:sz w:val="23"/>
          <w:szCs w:val="23"/>
          <w:lang w:val="pl-PL" w:eastAsia="zxx" w:bidi="zxx"/>
        </w:rPr>
        <w:t xml:space="preserve">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do dnia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11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 stycznia 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202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>2</w:t>
      </w:r>
      <w:r>
        <w:rPr>
          <w:b/>
          <w:color w:val="auto"/>
          <w:sz w:val="23"/>
          <w:szCs w:val="23"/>
          <w:u w:val="single"/>
          <w:lang w:val="pl-PL" w:eastAsia="zxx" w:bidi="zxx"/>
        </w:rPr>
        <w:t xml:space="preserve"> r.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3"/>
          <w:szCs w:val="23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lang w:val="pl-PL" w:eastAsia="zxx" w:bidi="zxx"/>
        </w:rPr>
        <w:t>Za dzień wpłaty wadium uważa się dzień wpływu środków pieniężnych na rachunek organizatora przetargu.</w:t>
      </w:r>
    </w:p>
    <w:p>
      <w:pPr>
        <w:pStyle w:val="Normal"/>
        <w:autoSpaceDE w:val="false"/>
        <w:bidi w:val="0"/>
        <w:spacing w:before="113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2. Przedłożenie komisji przetargowej przez uczestnika przetargu, przed otwarciem przetargu:</w:t>
      </w:r>
    </w:p>
    <w:p>
      <w:pPr>
        <w:pStyle w:val="Normal"/>
        <w:numPr>
          <w:ilvl w:val="0"/>
          <w:numId w:val="2"/>
        </w:numPr>
        <w:autoSpaceDE w:val="false"/>
        <w:bidi w:val="0"/>
        <w:spacing w:before="57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dowodu wniesienia wadium;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dowodu tożsamości;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 xml:space="preserve">stosownego </w:t>
      </w:r>
      <w:r>
        <w:rPr>
          <w:color w:val="000000"/>
          <w:sz w:val="23"/>
          <w:szCs w:val="23"/>
          <w:lang w:val="pl-PL" w:eastAsia="zxx" w:bidi="zxx"/>
        </w:rPr>
        <w:t>pełnomocnictwa udzielonego przez osobę, którą reprezentuje;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aps w:val="false"/>
          <w:smallCaps w:val="false"/>
          <w:color w:val="auto"/>
          <w:spacing w:val="0"/>
          <w:sz w:val="23"/>
          <w:szCs w:val="23"/>
          <w:lang w:val="pl-PL" w:eastAsia="zxx" w:bidi="zxx"/>
        </w:rPr>
      </w:pPr>
      <w:r>
        <w:rPr>
          <w:caps w:val="false"/>
          <w:smallCaps w:val="false"/>
          <w:color w:val="auto"/>
          <w:spacing w:val="0"/>
          <w:sz w:val="23"/>
          <w:szCs w:val="23"/>
          <w:lang w:val="pl-PL" w:eastAsia="zxx" w:bidi="zxx"/>
        </w:rPr>
        <w:t>zgody współmałżonka na uczestnictwo w przetargu, w przypadku przystąpienia do przetargu jednego  współmałżonka;</w:t>
      </w:r>
    </w:p>
    <w:p>
      <w:pPr>
        <w:pStyle w:val="Normal"/>
        <w:numPr>
          <w:ilvl w:val="0"/>
          <w:numId w:val="2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osoby fizyczne prowadzące działalność gospodarczą numer NIP, a podmioty inne niż osoby fizyczne dodatkowo wyciąg z właściwego rejestru wydany w ciągu ostatnich trzech miesięcy oraz właściwe pełnomocnictwa osób reprezentujących podmiot.</w:t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</w:r>
    </w:p>
    <w:p>
      <w:pPr>
        <w:pStyle w:val="Normal"/>
        <w:autoSpaceDE w:val="false"/>
        <w:bidi w:val="0"/>
        <w:jc w:val="both"/>
        <w:rPr>
          <w:rFonts w:ascii="Times New Roman" w:hAnsi="Times New Roman"/>
          <w:b/>
          <w:b/>
          <w:bCs/>
          <w:i w:val="false"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</w:pPr>
      <w:r>
        <w:rPr>
          <w:b/>
          <w:bCs/>
          <w:i w:val="false"/>
          <w:iCs w:val="false"/>
          <w:color w:val="000000"/>
          <w:sz w:val="23"/>
          <w:szCs w:val="23"/>
          <w:shd w:fill="auto" w:val="clear"/>
          <w:lang w:val="pl-PL" w:eastAsia="zxx" w:bidi="zxx"/>
        </w:rPr>
        <w:t>Informacje dodatkowe:</w:t>
      </w:r>
    </w:p>
    <w:p>
      <w:pPr>
        <w:pStyle w:val="Normal"/>
        <w:numPr>
          <w:ilvl w:val="0"/>
          <w:numId w:val="3"/>
        </w:numPr>
        <w:autoSpaceDE w:val="false"/>
        <w:bidi w:val="0"/>
        <w:spacing w:before="113" w:after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Wzywa się zainteresowanych kupnem do zapoznania się ze stanem nieruchomości poprzez dokonanie oględzin, a także do zapoznania się z ustaleniami i ograniczeniami wynikającymi z miejscowego planu zagospodarowania przestrzennego. Przyjmuje się, że stawiający do przetargu akceptują aktualny stan nieruchomości bez zastrzeżeń.</w:t>
      </w:r>
    </w:p>
    <w:p>
      <w:pPr>
        <w:pStyle w:val="Normal"/>
        <w:numPr>
          <w:ilvl w:val="0"/>
          <w:numId w:val="3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Koszty związane z nabyciem nieruchomości (opłata notarialna i sądowa za przeniesienie prawa własności) ponosi Kupujący.</w:t>
      </w:r>
    </w:p>
    <w:p>
      <w:pPr>
        <w:pStyle w:val="Normal"/>
        <w:numPr>
          <w:ilvl w:val="0"/>
          <w:numId w:val="3"/>
        </w:numPr>
        <w:autoSpaceDE w:val="fals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Jeżeli osoba ustalona jako nabywca  nieruchomości, nie przystąpi bez usprawiedliwienia do zawarcia umowy w miejscu i terminie podanych w zawiadomieniu, organizator przetargu może odstąpić od zawarcia umowy, a wpłacone wadium nie podlega zwrotowi.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jc w:val="both"/>
        <w:rPr>
          <w:rFonts w:ascii="Times New Roman" w:hAnsi="Times New Roman"/>
          <w:color w:val="000000"/>
          <w:sz w:val="23"/>
          <w:szCs w:val="23"/>
          <w:lang w:val="pl-PL" w:eastAsia="zxx" w:bidi="zxx"/>
        </w:rPr>
      </w:pPr>
      <w:r>
        <w:rPr>
          <w:color w:val="000000"/>
          <w:sz w:val="23"/>
          <w:szCs w:val="23"/>
          <w:lang w:val="pl-PL" w:eastAsia="zxx" w:bidi="zxx"/>
        </w:rPr>
        <w:t>Wadium wniesione przez uczestnika przetargu, który przetarg wygrał, zalicza się na poczet ceny nabycia nieruchomości.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before="57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sz w:val="23"/>
          <w:szCs w:val="23"/>
          <w:lang w:val="pl-PL" w:eastAsia="zxx" w:bidi="zxx"/>
        </w:rPr>
        <w:t>Pozostałym uczestnikom przetargu wadium zostanie zwrócone niezwłocznie, jednak nie później niż przed upływem 3 dni od dnia odwołania, zamknięcia, unieważnienia lub zakończenia przetargu wynikiem negatywnym.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bidi w:val="0"/>
        <w:spacing w:before="57" w:after="0"/>
        <w:jc w:val="both"/>
        <w:rPr>
          <w:rFonts w:ascii="Times New Roman" w:hAnsi="Times New Roman"/>
          <w:sz w:val="23"/>
          <w:szCs w:val="23"/>
          <w:lang w:val="pl-PL" w:eastAsia="zxx" w:bidi="zxx"/>
        </w:rPr>
      </w:pPr>
      <w:r>
        <w:rPr>
          <w:sz w:val="23"/>
          <w:szCs w:val="23"/>
          <w:lang w:val="pl-PL" w:eastAsia="zxx" w:bidi="zxx"/>
        </w:rPr>
        <w:t>Okazanie granic nieruchomości może nastąpić na koszt nabywcy.</w:t>
      </w:r>
    </w:p>
    <w:p>
      <w:pPr>
        <w:pStyle w:val="Normal"/>
        <w:widowControl w:val="false"/>
        <w:numPr>
          <w:ilvl w:val="0"/>
          <w:numId w:val="0"/>
        </w:numPr>
        <w:suppressAutoHyphens w:val="true"/>
        <w:bidi w:val="0"/>
        <w:spacing w:before="57" w:after="0"/>
        <w:ind w:left="856" w:hanging="0"/>
        <w:jc w:val="both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</w:r>
    </w:p>
    <w:p>
      <w:pPr>
        <w:pStyle w:val="Normal"/>
        <w:widowControl w:val="false"/>
        <w:suppressAutoHyphens w:val="true"/>
        <w:bidi w:val="0"/>
        <w:spacing w:before="57" w:after="0"/>
        <w:jc w:val="left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  <w:t>Burmistrz Mieroszowa zastrzega sobie prawo odwołania przetargu z ważnych powodów.</w:t>
      </w:r>
    </w:p>
    <w:p>
      <w:pPr>
        <w:pStyle w:val="Normal"/>
        <w:autoSpaceDE w:val="false"/>
        <w:bidi w:val="0"/>
        <w:jc w:val="both"/>
        <w:rPr>
          <w:rFonts w:ascii="Times New Roman" w:hAnsi="Times New Roman" w:cs="Calibri"/>
          <w:color w:val="000000"/>
          <w:sz w:val="23"/>
          <w:szCs w:val="23"/>
          <w:lang w:val="pl-PL" w:eastAsia="zxx" w:bidi="zxx"/>
        </w:rPr>
      </w:pPr>
      <w:r>
        <w:rPr>
          <w:rFonts w:cs="Calibri"/>
          <w:color w:val="000000"/>
          <w:sz w:val="23"/>
          <w:szCs w:val="23"/>
          <w:lang w:val="pl-PL" w:eastAsia="zxx" w:bidi="zxx"/>
        </w:rPr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color w:val="000000"/>
          <w:sz w:val="23"/>
          <w:szCs w:val="23"/>
          <w:lang w:val="pl-PL" w:eastAsia="zxx" w:bidi="zxx"/>
        </w:rPr>
      </w:pPr>
      <w:r>
        <w:rPr>
          <w:b/>
          <w:bCs/>
          <w:color w:val="000000"/>
          <w:sz w:val="23"/>
          <w:szCs w:val="23"/>
          <w:lang w:val="pl-PL" w:eastAsia="zxx" w:bidi="zxx"/>
        </w:rPr>
        <w:t>Informacje o nieruchomości można uzyskać w Referacie Nieruchomości pok. 15, Urzędu Miejskiego w Mieroszowie Pl. Niepodległości 1, 58-350 Mieroszów, tel.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74 30 30 0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3</w:t>
      </w:r>
      <w:r>
        <w:rPr>
          <w:b/>
          <w:bCs/>
          <w:i w:val="false"/>
          <w:iCs w:val="false"/>
          <w:color w:val="auto"/>
          <w:sz w:val="23"/>
          <w:szCs w:val="23"/>
          <w:u w:val="none"/>
          <w:lang w:val="pl-PL" w:eastAsia="zxx" w:bidi="zxx"/>
        </w:rPr>
        <w:t>0.</w:t>
      </w:r>
    </w:p>
    <w:p>
      <w:pPr>
        <w:pStyle w:val="Normal"/>
        <w:bidi w:val="0"/>
        <w:jc w:val="both"/>
        <w:rPr>
          <w:rFonts w:ascii="Times New Roman" w:hAnsi="Times New Roman"/>
          <w:b/>
          <w:b/>
          <w:bCs/>
          <w:sz w:val="23"/>
          <w:szCs w:val="23"/>
          <w:lang w:val="pl-PL" w:eastAsia="zxx" w:bidi="zxx"/>
        </w:rPr>
      </w:pPr>
      <w:r>
        <w:rPr>
          <w:b/>
          <w:bCs/>
          <w:sz w:val="23"/>
          <w:szCs w:val="23"/>
          <w:lang w:val="pl-PL" w:eastAsia="zxx" w:bidi="zxx"/>
        </w:rPr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OpenSymbol">
    <w:altName w:val="Arial Unicode MS"/>
    <w:charset w:val="ee"/>
    <w:family w:val="auto"/>
    <w:pitch w:val="default"/>
  </w:font>
  <w:font w:name="Arial">
    <w:charset w:val="ee"/>
    <w:family w:val="swiss"/>
    <w:pitch w:val="variable"/>
  </w:font>
  <w:font w:name="Symbol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140"/>
        </w:tabs>
        <w:ind w:left="114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00"/>
        </w:tabs>
        <w:ind w:left="150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60"/>
        </w:tabs>
        <w:ind w:left="186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20"/>
        </w:tabs>
        <w:ind w:left="222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80"/>
        </w:tabs>
        <w:ind w:left="258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60"/>
        </w:tabs>
        <w:ind w:left="366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216"/>
        </w:tabs>
        <w:ind w:left="1216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576"/>
        </w:tabs>
        <w:ind w:left="1576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936"/>
        </w:tabs>
        <w:ind w:left="1936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296"/>
        </w:tabs>
        <w:ind w:left="2296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656"/>
        </w:tabs>
        <w:ind w:left="2656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376"/>
        </w:tabs>
        <w:ind w:left="3376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736"/>
        </w:tabs>
        <w:ind w:left="3736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SimSun" w:cs="Mangal"/>
      <w:color w:val="auto"/>
      <w:kern w:val="2"/>
      <w:sz w:val="24"/>
      <w:szCs w:val="24"/>
      <w:lang w:val="zxx" w:eastAsia="zxx" w:bidi="zxx"/>
    </w:rPr>
  </w:style>
  <w:style w:type="character" w:styleId="Znakiwypunktowania">
    <w:name w:val="Znaki wypunktowania"/>
    <w:qFormat/>
    <w:rPr>
      <w:rFonts w:ascii="OpenSymbol" w:hAnsi="OpenSymbol" w:eastAsia="OpenSymbol" w:cs="OpenSymbol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Tretekstu">
    <w:name w:val="Body Text"/>
    <w:basedOn w:val="Normal"/>
    <w:pPr>
      <w:spacing w:before="0" w:after="120"/>
    </w:pPr>
    <w:rPr/>
  </w:style>
  <w:style w:type="paragraph" w:styleId="Lista">
    <w:name w:val="List"/>
    <w:basedOn w:val="Tretekstu"/>
    <w:pPr/>
    <w:rPr>
      <w:rFonts w:cs="Tahoma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Tahoma"/>
    </w:rPr>
  </w:style>
  <w:style w:type="paragraph" w:styleId="NormalnyWeb">
    <w:name w:val="Normalny (Web)"/>
    <w:basedOn w:val="Normal"/>
    <w:qFormat/>
    <w:pPr>
      <w:spacing w:before="280" w:after="119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550</TotalTime>
  <Application>LibreOffice/7.1.1.2$Windows_X86_64 LibreOffice_project/fe0b08f4af1bacafe4c7ecc87ce55bb426164676</Application>
  <AppVersion>15.0000</AppVersion>
  <Pages>2</Pages>
  <Words>533</Words>
  <Characters>3447</Characters>
  <CharactersWithSpaces>4001</CharactersWithSpaces>
  <Paragraphs>32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pl-PL</dc:language>
  <cp:lastModifiedBy/>
  <cp:lastPrinted>2021-12-09T10:11:13Z</cp:lastPrinted>
  <dcterms:modified xsi:type="dcterms:W3CDTF">2021-12-09T10:11:22Z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